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仿宋_GB2312" w:hAnsi="方正小标宋简体"/>
          <w:sz w:val="24"/>
        </w:rPr>
      </w:pPr>
    </w:p>
    <w:p>
      <w:pPr>
        <w:jc w:val="center"/>
        <w:rPr>
          <w:rFonts w:hint="eastAsia" w:ascii="仿宋_GB2312" w:hAnsi="方正小标宋简体"/>
          <w:szCs w:val="30"/>
        </w:rPr>
      </w:pPr>
    </w:p>
    <w:p>
      <w:pPr>
        <w:jc w:val="center"/>
        <w:rPr>
          <w:rFonts w:hint="eastAsia" w:ascii="仿宋_GB2312" w:hAnsi="方正小标宋简体"/>
          <w:szCs w:val="30"/>
        </w:rPr>
      </w:pPr>
      <w:r>
        <w:rPr>
          <w:rFonts w:hint="eastAsia" w:ascii="仿宋_GB2312" w:hAnsi="方正小标宋简体"/>
          <w:szCs w:val="3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48895</wp:posOffset>
                </wp:positionV>
                <wp:extent cx="6306820" cy="1847215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6820" cy="1847215"/>
                          <a:chOff x="1588" y="1928"/>
                          <a:chExt cx="8820" cy="2909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2259" y="1928"/>
                            <a:ext cx="7519" cy="1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方正小标宋简体"/>
                                  <w:w w:val="76"/>
                                  <w:sz w:val="72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方正小标宋简体"/>
                                  <w:color w:val="FF0000"/>
                                  <w:w w:val="76"/>
                                  <w:sz w:val="72"/>
                                  <w:szCs w:val="21"/>
                                </w:rPr>
                                <w:t>河南</w:t>
                              </w:r>
                              <w:r>
                                <w:rPr>
                                  <w:rFonts w:hint="eastAsia" w:eastAsia="方正小标宋简体"/>
                                  <w:color w:val="FF0000"/>
                                  <w:w w:val="76"/>
                                  <w:sz w:val="72"/>
                                  <w:szCs w:val="21"/>
                                  <w:lang w:val="en-US" w:eastAsia="zh-CN"/>
                                </w:rPr>
                                <w:t>省电教教材审定委员会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1588" y="4837"/>
                            <a:ext cx="882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2.1pt;margin-top:3.85pt;height:145.45pt;width:496.6pt;z-index:251658240;mso-width-relative:page;mso-height-relative:page;" coordorigin="1588,1928" coordsize="8820,2909" o:gfxdata="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GFwvSPaAAAA&#10;CQEAAA8AAAAAAAAAAQAgAAAAIgAAAGRycy9kb3ducmV2LnhtbFBLAQIUABQAAAAIAIdO4kB6TXBh&#10;xgIAAGgGAAAOAAAAAAAAAAEAIAAAACkBAABkcnMvZTJvRG9jLnhtbFBLBQYAAAAABgAGAFkBAABh&#10;BgAAAAA=&#10;">
                <o:lock v:ext="edit" aspectratio="f"/>
                <v:shape id="_x0000_s1026" o:spid="_x0000_s1026" o:spt="202" type="#_x0000_t202" style="position:absolute;left:2259;top:1928;height:1776;width:7519;" filled="f" stroked="f" coordsize="21600,21600" o:gfxdata="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F3w3+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eastAsia="方正小标宋简体"/>
                            <w:w w:val="76"/>
                            <w:sz w:val="72"/>
                            <w:szCs w:val="21"/>
                          </w:rPr>
                        </w:pPr>
                        <w:r>
                          <w:rPr>
                            <w:rFonts w:hint="eastAsia" w:eastAsia="方正小标宋简体"/>
                            <w:color w:val="FF0000"/>
                            <w:w w:val="76"/>
                            <w:sz w:val="72"/>
                            <w:szCs w:val="21"/>
                          </w:rPr>
                          <w:t>河南</w:t>
                        </w:r>
                        <w:r>
                          <w:rPr>
                            <w:rFonts w:hint="eastAsia" w:eastAsia="方正小标宋简体"/>
                            <w:color w:val="FF0000"/>
                            <w:w w:val="76"/>
                            <w:sz w:val="72"/>
                            <w:szCs w:val="21"/>
                            <w:lang w:val="en-US" w:eastAsia="zh-CN"/>
                          </w:rPr>
                          <w:t>省电教教材审定委员会</w:t>
                        </w:r>
                      </w:p>
                    </w:txbxContent>
                  </v:textbox>
                </v:shape>
                <v:line id="_x0000_s1026" o:spid="_x0000_s1026" o:spt="20" style="position:absolute;left:1588;top:4837;height:0;width:8820;" filled="f" stroked="t" coordsize="21600,21600" o:gfxdata="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j5r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jc w:val="center"/>
        <w:rPr>
          <w:rFonts w:hint="eastAsia" w:ascii="仿宋_GB2312" w:hAnsi="方正小标宋简体"/>
          <w:szCs w:val="30"/>
        </w:rPr>
      </w:pPr>
    </w:p>
    <w:p>
      <w:pPr>
        <w:jc w:val="center"/>
        <w:rPr>
          <w:rFonts w:hint="eastAsia" w:ascii="仿宋_GB2312" w:hAnsi="方正小标宋简体"/>
          <w:szCs w:val="30"/>
        </w:rPr>
      </w:pPr>
    </w:p>
    <w:p>
      <w:pPr>
        <w:jc w:val="center"/>
        <w:rPr>
          <w:rFonts w:hint="eastAsia" w:ascii="仿宋_GB2312" w:hAnsi="方正小标宋简体"/>
          <w:szCs w:val="30"/>
        </w:rPr>
      </w:pPr>
    </w:p>
    <w:p>
      <w:pPr>
        <w:jc w:val="center"/>
        <w:rPr>
          <w:rFonts w:hint="eastAsia" w:ascii="仿宋_GB2312" w:hAnsi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3000" w:firstLineChars="1000"/>
        <w:jc w:val="both"/>
        <w:textAlignment w:val="auto"/>
        <w:outlineLvl w:val="9"/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教电审〔2018〕1号</w:t>
      </w:r>
    </w:p>
    <w:p>
      <w:pPr>
        <w:jc w:val="center"/>
        <w:rPr>
          <w:rFonts w:hint="eastAsia" w:ascii="汉仪中黑简" w:hAnsi="汉仪中黑简" w:eastAsia="汉仪中黑简" w:cs="汉仪中黑简"/>
          <w:sz w:val="44"/>
          <w:szCs w:val="44"/>
        </w:rPr>
      </w:pPr>
    </w:p>
    <w:p>
      <w:pPr>
        <w:jc w:val="center"/>
        <w:rPr>
          <w:rFonts w:hint="eastAsia" w:ascii="汉仪中黑简" w:hAnsi="汉仪中黑简" w:eastAsia="汉仪中黑简" w:cs="汉仪中黑简"/>
          <w:sz w:val="44"/>
          <w:szCs w:val="44"/>
        </w:rPr>
      </w:pPr>
      <w:r>
        <w:rPr>
          <w:rFonts w:hint="eastAsia" w:ascii="汉仪中黑简" w:hAnsi="汉仪中黑简" w:eastAsia="汉仪中黑简" w:cs="汉仪中黑简"/>
          <w:sz w:val="44"/>
          <w:szCs w:val="44"/>
        </w:rPr>
        <w:t>关于河南省中小学“教师用数字教材”</w:t>
      </w:r>
    </w:p>
    <w:p>
      <w:pPr>
        <w:jc w:val="center"/>
        <w:rPr>
          <w:rFonts w:hint="eastAsia" w:ascii="汉仪中黑简" w:hAnsi="汉仪中黑简" w:eastAsia="汉仪中黑简" w:cs="汉仪中黑简"/>
          <w:sz w:val="44"/>
          <w:szCs w:val="44"/>
        </w:rPr>
      </w:pPr>
      <w:r>
        <w:rPr>
          <w:rFonts w:hint="eastAsia" w:ascii="汉仪中黑简" w:hAnsi="汉仪中黑简" w:eastAsia="汉仪中黑简" w:cs="汉仪中黑简"/>
          <w:sz w:val="44"/>
          <w:szCs w:val="44"/>
        </w:rPr>
        <w:t>建设意见的通知</w:t>
      </w:r>
      <w:bookmarkStart w:id="0" w:name="_GoBack"/>
      <w:bookmarkEnd w:id="0"/>
    </w:p>
    <w:p>
      <w:pPr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600" w:firstLineChars="200"/>
        <w:textAlignment w:val="auto"/>
        <w:outlineLvl w:val="9"/>
        <w:rPr>
          <w:rFonts w:hint="eastAsia" w:ascii="仿宋" w:hAnsi="仿宋" w:eastAsia="仿宋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为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贯彻执行</w:t>
      </w:r>
      <w:r>
        <w:rPr>
          <w:rFonts w:hint="eastAsia" w:ascii="仿宋" w:hAnsi="仿宋" w:eastAsia="仿宋"/>
          <w:color w:val="000000"/>
          <w:sz w:val="30"/>
          <w:szCs w:val="30"/>
        </w:rPr>
        <w:t>教育部《教育信息化“十三五”规划》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color w:val="000000"/>
          <w:sz w:val="30"/>
          <w:szCs w:val="30"/>
        </w:rPr>
        <w:t>教技〔2016〕2号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）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和</w:t>
      </w:r>
      <w:r>
        <w:rPr>
          <w:rFonts w:hint="eastAsia" w:ascii="仿宋" w:hAnsi="仿宋" w:eastAsia="仿宋"/>
          <w:color w:val="000000"/>
          <w:sz w:val="30"/>
          <w:szCs w:val="30"/>
        </w:rPr>
        <w:t>教育部《教育信息化2.0行动计划》（教技</w:t>
      </w:r>
      <w:r>
        <w:rPr>
          <w:rFonts w:hint="eastAsia" w:ascii="仿宋_GB2312" w:eastAsia="仿宋_GB2312"/>
          <w:color w:val="000000"/>
          <w:sz w:val="30"/>
          <w:szCs w:val="30"/>
        </w:rPr>
        <w:t>〔2018〕</w:t>
      </w:r>
      <w:r>
        <w:rPr>
          <w:rFonts w:hint="eastAsia" w:ascii="仿宋" w:hAnsi="仿宋" w:eastAsia="仿宋"/>
          <w:color w:val="000000"/>
          <w:sz w:val="30"/>
          <w:szCs w:val="30"/>
        </w:rPr>
        <w:t>6号）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文件精神</w:t>
      </w:r>
      <w:r>
        <w:rPr>
          <w:rFonts w:hint="eastAsia" w:ascii="仿宋" w:hAnsi="仿宋" w:eastAsia="仿宋"/>
          <w:color w:val="000000"/>
          <w:sz w:val="30"/>
          <w:szCs w:val="30"/>
        </w:rPr>
        <w:t>，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积极探索在生均公用经费中列支购买资源服务费用的机制，将“数字教育资源纳入中小学教材配备要求范围”。根据《河南省中小学数字教材建设规范（试行）》（教电教〔2017〕1062号）精神，升级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传统</w:t>
      </w:r>
      <w:r>
        <w:rPr>
          <w:rFonts w:hint="eastAsia" w:ascii="仿宋" w:hAnsi="仿宋" w:eastAsia="仿宋"/>
          <w:color w:val="000000"/>
          <w:sz w:val="30"/>
          <w:szCs w:val="30"/>
        </w:rPr>
        <w:t>电教教材为“光盘+PC端+移动端”共同支撑的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数字教材.数字教材分为学生用数字教材和教师用数字教材,学生用数字教材必须与国家课程标准的文字教材（原版）同步，并获得文字教材出版单位授权。</w:t>
      </w:r>
      <w:r>
        <w:rPr>
          <w:rFonts w:hint="eastAsia" w:ascii="仿宋" w:hAnsi="仿宋" w:eastAsia="仿宋"/>
          <w:color w:val="000000"/>
          <w:sz w:val="30"/>
          <w:szCs w:val="30"/>
        </w:rPr>
        <w:t>原电教教材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管理</w:t>
      </w:r>
      <w:r>
        <w:rPr>
          <w:rFonts w:hint="eastAsia" w:ascii="仿宋" w:hAnsi="仿宋" w:eastAsia="仿宋"/>
          <w:color w:val="000000"/>
          <w:sz w:val="30"/>
          <w:szCs w:val="30"/>
        </w:rPr>
        <w:t>相关政策继续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实行。现将2019年春季河南省中小学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电教教材“教师用数字教材”建设的有关规定通知如下：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一、教师用数字教材必须拥有独立的版权，涵盖微课、教案、素材、试题、专题五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交互配套资源，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具备</w:t>
      </w:r>
      <w:r>
        <w:rPr>
          <w:rFonts w:hint="eastAsia" w:ascii="仿宋" w:hAnsi="仿宋" w:eastAsia="仿宋"/>
          <w:color w:val="000000"/>
          <w:sz w:val="30"/>
          <w:szCs w:val="30"/>
        </w:rPr>
        <w:t>“光盘+PC端+移动端”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支撑多种载体形式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教师用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数字教材必须符合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学科、版本要求，且获得正规版权；教师用数字教材必须符合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《河南省中小学数字教材服务平台技术规范》要求。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经研究决定，2018年7月20日下午3点在民航大酒店盛世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B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厅（金水路与东明路交叉口向西50米路北）召开“河南省中小学电教教材（教师用数字教材）建设说明会”。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欢迎各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教材出版社和数字教学资源开发单位积极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参与教师用数字教材的建设，</w:t>
      </w:r>
      <w:r>
        <w:rPr>
          <w:rFonts w:hint="eastAsia" w:ascii="仿宋" w:hAnsi="仿宋" w:eastAsia="仿宋"/>
          <w:color w:val="000000"/>
          <w:sz w:val="30"/>
          <w:szCs w:val="30"/>
        </w:rPr>
        <w:t>促进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数字</w:t>
      </w:r>
      <w:r>
        <w:rPr>
          <w:rFonts w:hint="eastAsia" w:ascii="仿宋" w:hAnsi="仿宋" w:eastAsia="仿宋"/>
          <w:color w:val="000000"/>
          <w:sz w:val="30"/>
          <w:szCs w:val="30"/>
        </w:rPr>
        <w:t>教材与教育教学深度融合，发挥数字教材在新型教学模式下的作用，不断提高全省中小学校的教育教学质量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。</w:t>
      </w:r>
    </w:p>
    <w:p>
      <w:pPr>
        <w:widowControl/>
        <w:spacing w:line="600" w:lineRule="exact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spacing w:line="600" w:lineRule="exact"/>
        <w:ind w:left="0" w:leftChars="0" w:firstLine="0" w:firstLineChars="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人：冯德海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8537108057</w:t>
      </w:r>
    </w:p>
    <w:p>
      <w:pPr>
        <w:widowControl/>
        <w:spacing w:line="600" w:lineRule="exact"/>
        <w:jc w:val="righ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600" w:lineRule="exact"/>
        <w:jc w:val="righ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600" w:lineRule="exact"/>
        <w:ind w:right="300"/>
        <w:jc w:val="righ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600" w:lineRule="exact"/>
        <w:ind w:right="300"/>
        <w:jc w:val="righ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河南省电教教材审定委员会</w:t>
      </w:r>
    </w:p>
    <w:p>
      <w:pPr>
        <w:ind w:right="26" w:firstLine="5440" w:firstLineChars="1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中黑简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456" w:h="772" w:hRule="exact" w:wrap="around" w:vAnchor="text" w:hAnchor="page" w:x="7741" w:y="49"/>
      <w:jc w:val="center"/>
      <w:rPr>
        <w:rStyle w:val="7"/>
        <w:rFonts w:ascii="仿宋" w:hAnsi="仿宋" w:eastAsia="仿宋"/>
        <w:sz w:val="30"/>
        <w:szCs w:val="30"/>
      </w:rPr>
    </w:pPr>
    <w:r>
      <w:rPr>
        <w:rStyle w:val="7"/>
        <w:rFonts w:ascii="仿宋" w:hAnsi="仿宋" w:eastAsia="仿宋"/>
        <w:sz w:val="30"/>
        <w:szCs w:val="30"/>
      </w:rPr>
      <w:t xml:space="preserve">— </w:t>
    </w:r>
    <w:r>
      <w:rPr>
        <w:rStyle w:val="7"/>
        <w:rFonts w:ascii="仿宋" w:hAnsi="仿宋" w:eastAsia="仿宋"/>
        <w:sz w:val="30"/>
        <w:szCs w:val="30"/>
      </w:rPr>
      <w:fldChar w:fldCharType="begin"/>
    </w:r>
    <w:r>
      <w:rPr>
        <w:rStyle w:val="7"/>
        <w:rFonts w:ascii="仿宋" w:hAnsi="仿宋" w:eastAsia="仿宋"/>
        <w:sz w:val="30"/>
        <w:szCs w:val="30"/>
      </w:rPr>
      <w:instrText xml:space="preserve"> PAGE </w:instrText>
    </w:r>
    <w:r>
      <w:rPr>
        <w:rStyle w:val="7"/>
        <w:rFonts w:ascii="仿宋" w:hAnsi="仿宋" w:eastAsia="仿宋"/>
        <w:sz w:val="30"/>
        <w:szCs w:val="30"/>
      </w:rPr>
      <w:fldChar w:fldCharType="separate"/>
    </w:r>
    <w:r>
      <w:rPr>
        <w:rStyle w:val="7"/>
        <w:rFonts w:ascii="仿宋" w:hAnsi="仿宋" w:eastAsia="仿宋"/>
        <w:sz w:val="30"/>
        <w:szCs w:val="30"/>
      </w:rPr>
      <w:t>1</w:t>
    </w:r>
    <w:r>
      <w:rPr>
        <w:rStyle w:val="7"/>
        <w:rFonts w:ascii="仿宋" w:hAnsi="仿宋" w:eastAsia="仿宋"/>
        <w:sz w:val="30"/>
        <w:szCs w:val="30"/>
      </w:rPr>
      <w:fldChar w:fldCharType="end"/>
    </w:r>
    <w:r>
      <w:rPr>
        <w:rStyle w:val="7"/>
        <w:rFonts w:ascii="仿宋" w:hAnsi="仿宋" w:eastAsia="仿宋"/>
        <w:sz w:val="30"/>
        <w:szCs w:val="30"/>
      </w:rPr>
      <w:t xml:space="preserve"> —</w:t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922A5A"/>
    <w:rsid w:val="732C37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customStyle="1" w:styleId="10">
    <w:name w:val="Heading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Balloon Text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Footer Char"/>
    <w:basedOn w:val="6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Header Char"/>
    <w:basedOn w:val="6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7</Pages>
  <Words>329</Words>
  <Characters>1881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2015-03-15T02:33:00Z</dcterms:created>
  <dc:creator>USER</dc:creator>
  <cp:lastModifiedBy>Molly1414120817</cp:lastModifiedBy>
  <cp:lastPrinted>2018-07-16T01:58:07Z</cp:lastPrinted>
  <dcterms:modified xsi:type="dcterms:W3CDTF">2018-07-16T01:59:12Z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